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45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E76E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Mala’ayamay</w:t>
      </w:r>
      <w:proofErr w:type="spellEnd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malikakaay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9FB" w:rsidRPr="001779FB" w:rsidRDefault="001779FB" w:rsidP="001779F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mararamoday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Mahofoc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mala’ayamay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tatosa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angangan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ci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Ngangay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Toroy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779FB" w:rsidRPr="001779FB" w:rsidRDefault="001779FB" w:rsidP="001779F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Toya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mi’adop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eriden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mikorkor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omah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mitatangic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dadimawen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mifafa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kaorira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pitatangic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Papipacocoen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kaka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Maherek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mikorkor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pacocoen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misarakarakat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midadimaw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Maherek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mikorkor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tedac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mitangtang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Longocen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no kaka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mipacoco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Ansawni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to!”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Maedeng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samaanen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mitatala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Ora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aca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maecakay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eked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talo’an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komaen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felet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tolak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pasayra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podpod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tolak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kiskisen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heci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tolak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pakaenen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Masamaanay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hiday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takaw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minokay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Pakayni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mifalah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raro:m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minengneng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la’ayam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nga’ayay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maefer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talakakarayan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779FB" w:rsidRPr="001779FB" w:rsidRDefault="001779FB" w:rsidP="001779F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cicih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tireng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lipoten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macicihay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tireng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telec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kalitosaen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miso’ot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hasapikpik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Toyanan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mala’ayam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tireng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Toroy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ayaman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Ngangay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ayaman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779FB" w:rsidRPr="001779FB" w:rsidRDefault="001779FB" w:rsidP="001779F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Pisakalafian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minokay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pasowalen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mala’ayamay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malikakaay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tangic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pasowal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mifalahan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kami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Maherek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somowal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efer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pasayra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tokos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maketer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micomod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mifadisaway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nanom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keter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a:la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marokrokay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fadisaw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pasayra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tireng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micefos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miowaw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milalekal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mimokmok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pasayra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dihif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Lekal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mikapo’i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Heminen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kakaenen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miso,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ngingicen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riko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iso.”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la’edo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779FB" w:rsidRPr="001779FB" w:rsidRDefault="001779FB" w:rsidP="001779F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ma’anofay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misafaya’ay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damsayay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konini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wina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aikor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mala’edo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malikakaay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ca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katango’olen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’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orip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kala’ayam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nga’ayay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misakocakocay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maefer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779F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 ko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harateng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1779F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F37D77" w:rsidRPr="00227934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22793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45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E76E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E76E0">
        <w:rPr>
          <w:rFonts w:ascii="Times New Roman" w:eastAsia="標楷體" w:hAnsi="Times New Roman"/>
          <w:color w:val="212529"/>
          <w:kern w:val="0"/>
          <w:sz w:val="40"/>
          <w:szCs w:val="32"/>
        </w:rPr>
        <w:t>變成鳥的兄弟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76E0" w:rsidRDefault="00FE76E0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從前有對夫妻，生有兩個兒子名為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Toroy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與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Ngangay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。有天父親外出狩獵，母親帶兩個兒子去挖芋頭，弟弟哭得厲害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母親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卻遲遲不餵奶，還偷偷跑回家，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於是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將衣服撕碎纏在身上，腰帶及背巾分成兩半綁在手背上當作翅膀，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哥哥變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成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Toroy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鳥，弟弟變成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Ngangay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鳥。傍晚，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父親發現妻子遺棄小孩，小孩變成鳥飛走，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端起開水往妻子身上潑，妻子發出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kis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kis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淒慘聲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，變成老鼠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FE76E0" w:rsidRPr="00FE76E0" w:rsidRDefault="00FE76E0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自私自利的人，最後變成人人喊打的老鼠。失去溫暖的兄弟，化成鳥兒自由自在的飛翔。</w:t>
      </w:r>
    </w:p>
    <w:p w:rsidR="00BA7D41" w:rsidRPr="00FE76E0" w:rsidRDefault="00BA7D41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E76E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779FB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27934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0E44"/>
    <w:rsid w:val="004C5ECF"/>
    <w:rsid w:val="004E3505"/>
    <w:rsid w:val="00521432"/>
    <w:rsid w:val="00547E0F"/>
    <w:rsid w:val="00552914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24B"/>
    <w:rsid w:val="008065DD"/>
    <w:rsid w:val="008406AD"/>
    <w:rsid w:val="00847909"/>
    <w:rsid w:val="00874591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AF2B1F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B443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6E0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DB927-9B25-4FDA-B224-850B7347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2025-07-03T08:51:00Z</dcterms:created>
  <dcterms:modified xsi:type="dcterms:W3CDTF">2025-07-03T08:52:00Z</dcterms:modified>
</cp:coreProperties>
</file>